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AK-L03: The Buginese Concept of Kingship — Clean Transcript</w:t>
      </w:r>
    </w:p>
    <w:p>
      <w:pPr>
        <w:jc w:val="center"/>
      </w:pPr>
      <w:r>
        <w:rPr>
          <w:i/>
          <w:color w:val="4A5568"/>
          <w:sz w:val="22"/>
        </w:rPr>
        <w:t>Edited teaching transcript reconstructed from Professor Ann Kumar’s notes on South-west Celebes and Buginese communities.</w:t>
      </w:r>
    </w:p>
    <w:p>
      <w:r>
        <w:t>Resource package: AK-L03_The-Buginese-Concept-of-Kingship</w:t>
      </w:r>
    </w:p>
    <w:p>
      <w:r>
        <w:t>Source: PDF Low Res-0007 — South-west Celebes: The Buginese Communities; Asian Civilisation IIISE lecture notes.</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covers the Buginese kingship section of PDF Low Res-0007. The following Arung Palakka material in the same source file is treated separately as AK-L04. Obvious OCR errors and typographical noise have been corrected silently. A few terms have been regularised for readability: Hadat, adat, wanua, gaukang and arung.</w:t>
            </w:r>
          </w:p>
        </w:tc>
      </w:tr>
    </w:tbl>
    <w:p/>
    <w:p>
      <w:pPr>
        <w:pStyle w:val="Heading2"/>
      </w:pPr>
      <w:r>
        <w:t>Opening Question: What Sort of King?</w:t>
      </w:r>
    </w:p>
    <w:p>
      <w:r>
        <w:t>Professor Kumar opens the lecture by asking what position a king held, in theory and in practice, among the Buginese of South-west Celebes - a people who later became distinguished by their pursuit of power across the Malayo-Indonesian world.</w:t>
      </w:r>
    </w:p>
    <w:p>
      <w:r>
        <w:t>Two kinds of evidence are introduced. The first consists of traditional stories, widespread among Buginese communities, about the origin of kingship. The second is Buginese adat: law, custom and traditional sayings concerning correct behaviour and political procedure.</w:t>
      </w:r>
    </w:p>
    <w:p>
      <w:pPr>
        <w:pStyle w:val="Heading2"/>
      </w:pPr>
      <w:r>
        <w:t>The Mythic Origin of Kingship</w:t>
      </w:r>
    </w:p>
    <w:p>
      <w:r>
        <w:t>The traditional myths generally begin with chaos. The gods of the Upperworld and the Underworld decide to transform the earth into a habitable place. A god of the Upperworld and a goddess of the Underworld are married, and from their union a civilisation gradually spreads.</w:t>
      </w:r>
    </w:p>
    <w:p>
      <w:r>
        <w:t>These gods and their descendants rule on earth until, for reasons left unexplained, they return to their own worlds and leave human beings without divine rulers. For seven generations mankind is left without rulers and becomes, in the vivid phrase used in the lecture, "like fishes devouring one another".</w:t>
      </w:r>
    </w:p>
    <w:p>
      <w:r>
        <w:t>This condition ends only when each community discovers a heavenly ruler to be its king. Usually the ruler is said to come down from heaven amid thunder and lightning, accompanied by a retinue carrying the regalia of royalty.</w:t>
      </w:r>
    </w:p>
    <w:p>
      <w:r>
        <w:t>The people approach him and say that they have come to beg him to pity them and remain with them forever. They have neither ruler nor Hadat - the council of elders - in their land, and therefore ask him to become their ruler.</w:t>
      </w:r>
    </w:p>
    <w:p>
      <w:r>
        <w:t>The new ruler introduces regulations and institutions for the kingdom. The rules specifically mentioned in these myths concern property rights, the transfer of property and similar matters of social order. He also forms the Hadat to serve as the highest court of appeal in adat decisions and as adviser to the ruler himself.</w:t>
      </w:r>
    </w:p>
    <w:p>
      <w:pPr>
        <w:pStyle w:val="Heading2"/>
      </w:pPr>
      <w:r>
        <w:t>Sacral Power and the Welfare of the Community</w:t>
      </w:r>
    </w:p>
    <w:p>
      <w:r>
        <w:t>In these myths the ruler possesses special divine powers that can be harnessed for the welfare of the community. Having descended from heaven and agreed to remain on earth, he occupies a unique position as one who can intercede with the gods on behalf of mankind.</w:t>
      </w:r>
    </w:p>
    <w:p>
      <w:r>
        <w:t>The sacred aspect of the ruler and his descendants is reinforced by the mysterious way in which they vanish rather than simply die. One queen, for example, is said to have been spirited away by a flame from heaven.</w:t>
      </w:r>
    </w:p>
    <w:p>
      <w:r>
        <w:t>Yet Professor Kumar stresses that in the adat works it is not this divine aspect that receives the main emphasis. Rather, the king appears above all as an arbiter among human beings.</w:t>
      </w:r>
    </w:p>
    <w:p>
      <w:pPr>
        <w:pStyle w:val="Heading2"/>
      </w:pPr>
      <w:r>
        <w:t>Wanua, Gaukang and the Need for Arbitration</w:t>
      </w:r>
    </w:p>
    <w:p>
      <w:r>
        <w:t>The practical role of the ruler becomes clearer when kingship in Bone is examined. Before the appearance of the ruler, there were a number of small communities known as wanua. Each wanua was centred around a sacred object called a gaukang.</w:t>
      </w:r>
    </w:p>
    <w:p>
      <w:r>
        <w:t>Various relationships existed among these communities. Some were offshoots from a mother community; others joined together for strength. There were also quarrels between communities over land boundaries, fishing rights and other matters.</w:t>
      </w:r>
    </w:p>
    <w:p>
      <w:r>
        <w:t>These disputes were difficult or impossible to arbitrate because there was no superior authority recognised by the separate wanua. This is the political situation symbolised in the myths by the image of men becoming "like fishes devouring one another".</w:t>
      </w:r>
    </w:p>
    <w:p>
      <w:pPr>
        <w:pStyle w:val="Heading2"/>
      </w:pPr>
      <w:r>
        <w:t>Hadat, Arung and the Limits of Royal Power</w:t>
      </w:r>
    </w:p>
    <w:p>
      <w:r>
        <w:t>The ruler and the Hadat were established as an overarching federation structure. The individual communities, however, retained a strong hold on the new governmental apparatus, because each community was represented in the Hadat by its head, the arung.</w:t>
      </w:r>
    </w:p>
    <w:p>
      <w:r>
        <w:t>The ruler’s role was to arbitrate when there was disagreement between the communities. Despite his divine qualities, he was not an absolute ruler. Adat sayings underline this limitation: a ruler who does not consult with his ministers will be destroyed; when the ruler forgets something, the ministers must remind him, and when the ministers forget something, the ruler must remind them.</w:t>
      </w:r>
    </w:p>
    <w:p>
      <w:r>
        <w:t>The ruler is subordinate to adat and therefore to its guardians, the Hadat. He can be deposed if he does not behave properly. He is expected to maintain the welfare of his people, to mix with them so that he learns about their daily work, and to prevent his relatives from oppressing them.</w:t>
      </w:r>
    </w:p>
    <w:p>
      <w:pPr>
        <w:pStyle w:val="Heading2"/>
      </w:pPr>
      <w:r>
        <w:t>Conclusion: Dual Function of the Buginese Ruler</w:t>
      </w:r>
    </w:p>
    <w:p>
      <w:r>
        <w:t>Professor Kumar concludes that the Buginese ruler has a dual function. He mediates between the people and the gods, and he also mediates between the individual wanua communities to ensure the smooth functioning and prosperity of society.</w:t>
      </w:r>
    </w:p>
    <w:p>
      <w:r>
        <w:t>The second function - mediation among the communities - seems to have been far more important in practice. The lecture therefore presents Buginese kingship not as simple divine kingship or absolute monarchy, but as a negotiated political institution grounded in adat, council, arbitration and community welfare.</w:t>
      </w:r>
    </w:p>
    <w:p>
      <w:pPr>
        <w:pStyle w:val="Heading2"/>
      </w:pPr>
      <w:r>
        <w:t>Key Terms in the Lecture</w:t>
      </w:r>
    </w:p>
    <w:p>
      <w:r>
        <w:rPr>
          <w:b/>
        </w:rPr>
        <w:t xml:space="preserve">adat: </w:t>
      </w:r>
      <w:r>
        <w:t>Customary law, inherited social order and accepted procedure.</w:t>
      </w:r>
    </w:p>
    <w:p>
      <w:r>
        <w:rPr>
          <w:b/>
        </w:rPr>
        <w:t xml:space="preserve">Hadat: </w:t>
      </w:r>
      <w:r>
        <w:t>The council of elders or aristocratic representatives associated with adat decision-making and advice to the ruler.</w:t>
      </w:r>
    </w:p>
    <w:p>
      <w:r>
        <w:rPr>
          <w:b/>
        </w:rPr>
        <w:t xml:space="preserve">wanua: </w:t>
      </w:r>
      <w:r>
        <w:t>A small Buginese community or local political unit.</w:t>
      </w:r>
    </w:p>
    <w:p>
      <w:r>
        <w:rPr>
          <w:b/>
        </w:rPr>
        <w:t xml:space="preserve">gaukang: </w:t>
      </w:r>
      <w:r>
        <w:t>A sacred object associated with a wanua and its identity.</w:t>
      </w:r>
    </w:p>
    <w:p>
      <w:r>
        <w:rPr>
          <w:b/>
        </w:rPr>
        <w:t xml:space="preserve">arung: </w:t>
      </w:r>
      <w:r>
        <w:t>A Buginese local ruler, lord or head of a community; in this lecture the arung represents the wanua within the Hadat.</w:t>
      </w:r>
    </w:p>
    <w:p>
      <w:r>
        <w:rPr>
          <w:b/>
        </w:rPr>
        <w:t xml:space="preserve">Bone / Boné: </w:t>
      </w:r>
      <w:r>
        <w:t>One of the principal Buginese kingdoms of South Sulawesi.</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