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AK-L02: Islam as a Historical Force — Web Publishing Notes</w:t>
      </w:r>
    </w:p>
    <w:p>
      <w:pPr>
        <w:jc w:val="center"/>
      </w:pPr>
      <w:r>
        <w:rPr>
          <w:i/>
          <w:color w:val="4A5568"/>
          <w:sz w:val="22"/>
        </w:rPr>
        <w:t>Upload, linking, SEO and image guidance for WordPress.</w:t>
      </w:r>
    </w:p>
    <w:p>
      <w:r>
        <w:t>Resource package: AK-L02_Islam-as-a-Historical-Force</w:t>
      </w:r>
    </w:p>
    <w:p>
      <w:r>
        <w:t>Source: PDF Low Res-0014 — Lecture I, “Islam as a Historical Force”; Asian Civilisation IIISE / Malaysia–Indonesia sequence.</w:t>
      </w:r>
    </w:p>
    <w:p>
      <w:pPr>
        <w:pStyle w:val="Heading2"/>
      </w:pPr>
      <w:r>
        <w:t>Standard Public Link Labels</w:t>
      </w:r>
    </w:p>
    <w:tbl>
      <w:tblPr>
        <w:tblStyle w:val="TableGrid"/>
        <w:tblW w:type="auto" w:w="0"/>
        <w:tblLook w:firstColumn="1" w:firstRow="1" w:lastColumn="0" w:lastRow="0" w:noHBand="0" w:noVBand="1" w:val="04A0"/>
      </w:tblPr>
      <w:tblGrid>
        <w:gridCol w:w="4968"/>
        <w:gridCol w:w="4968"/>
      </w:tblGrid>
      <w:tr>
        <w:tc>
          <w:tcPr>
            <w:tcW w:type="dxa" w:w="4968"/>
            <w:shd w:fill="D5E8F0"/>
          </w:tcPr>
          <w:p>
            <w:r/>
            <w:r>
              <w:rPr>
                <w:b/>
                <w:sz w:val="18"/>
              </w:rPr>
              <w:t>Resource type</w:t>
            </w:r>
          </w:p>
        </w:tc>
        <w:tc>
          <w:tcPr>
            <w:tcW w:type="dxa" w:w="4968"/>
            <w:shd w:fill="D5E8F0"/>
          </w:tcPr>
          <w:p>
            <w:r/>
            <w:r>
              <w:rPr>
                <w:b/>
                <w:sz w:val="18"/>
              </w:rPr>
              <w:t>Standard link text</w:t>
            </w:r>
          </w:p>
        </w:tc>
      </w:tr>
      <w:tr>
        <w:tc>
          <w:tcPr>
            <w:tcW w:type="dxa" w:w="4968"/>
          </w:tcPr>
          <w:p>
            <w:r/>
            <w:r>
              <w:rPr>
                <w:b w:val="0"/>
                <w:sz w:val="18"/>
              </w:rPr>
              <w:t>Original scanned lecture</w:t>
            </w:r>
          </w:p>
        </w:tc>
        <w:tc>
          <w:tcPr>
            <w:tcW w:type="dxa" w:w="4968"/>
          </w:tcPr>
          <w:p>
            <w:r/>
            <w:r>
              <w:rPr>
                <w:b w:val="0"/>
                <w:sz w:val="18"/>
              </w:rPr>
              <w:t>Original Lecture Notes</w:t>
            </w:r>
          </w:p>
        </w:tc>
      </w:tr>
      <w:tr>
        <w:tc>
          <w:tcPr>
            <w:tcW w:type="dxa" w:w="4968"/>
          </w:tcPr>
          <w:p>
            <w:r/>
            <w:r>
              <w:rPr>
                <w:b w:val="0"/>
                <w:sz w:val="18"/>
              </w:rPr>
              <w:t>Clean edited transcript</w:t>
            </w:r>
          </w:p>
        </w:tc>
        <w:tc>
          <w:tcPr>
            <w:tcW w:type="dxa" w:w="4968"/>
          </w:tcPr>
          <w:p>
            <w:r/>
            <w:r>
              <w:rPr>
                <w:b w:val="0"/>
                <w:sz w:val="18"/>
              </w:rPr>
              <w:t>Clean Transcript</w:t>
            </w:r>
          </w:p>
        </w:tc>
      </w:tr>
      <w:tr>
        <w:tc>
          <w:tcPr>
            <w:tcW w:type="dxa" w:w="4968"/>
          </w:tcPr>
          <w:p>
            <w:r/>
            <w:r>
              <w:rPr>
                <w:b w:val="0"/>
                <w:sz w:val="18"/>
              </w:rPr>
              <w:t>Short teaching summary</w:t>
            </w:r>
          </w:p>
        </w:tc>
        <w:tc>
          <w:tcPr>
            <w:tcW w:type="dxa" w:w="4968"/>
          </w:tcPr>
          <w:p>
            <w:r/>
            <w:r>
              <w:rPr>
                <w:b w:val="0"/>
                <w:sz w:val="18"/>
              </w:rPr>
              <w:t>Lecture Synopsis</w:t>
            </w:r>
          </w:p>
        </w:tc>
      </w:tr>
      <w:tr>
        <w:tc>
          <w:tcPr>
            <w:tcW w:type="dxa" w:w="4968"/>
          </w:tcPr>
          <w:p>
            <w:r/>
            <w:r>
              <w:rPr>
                <w:b w:val="0"/>
                <w:sz w:val="18"/>
              </w:rPr>
              <w:t>Reading list</w:t>
            </w:r>
          </w:p>
        </w:tc>
        <w:tc>
          <w:tcPr>
            <w:tcW w:type="dxa" w:w="4968"/>
          </w:tcPr>
          <w:p>
            <w:r/>
            <w:r>
              <w:rPr>
                <w:b w:val="0"/>
                <w:sz w:val="18"/>
              </w:rPr>
              <w:t>Further Reading</w:t>
            </w:r>
          </w:p>
        </w:tc>
      </w:tr>
      <w:tr>
        <w:tc>
          <w:tcPr>
            <w:tcW w:type="dxa" w:w="4968"/>
          </w:tcPr>
          <w:p>
            <w:r/>
            <w:r>
              <w:rPr>
                <w:b w:val="0"/>
                <w:sz w:val="18"/>
              </w:rPr>
              <w:t>Internal note</w:t>
            </w:r>
          </w:p>
        </w:tc>
        <w:tc>
          <w:tcPr>
            <w:tcW w:type="dxa" w:w="4968"/>
          </w:tcPr>
          <w:p>
            <w:r/>
            <w:r>
              <w:rPr>
                <w:b w:val="0"/>
                <w:sz w:val="18"/>
              </w:rPr>
              <w:t>Web Publishing Notes</w:t>
            </w:r>
          </w:p>
        </w:tc>
      </w:tr>
    </w:tbl>
    <w:p>
      <w:pPr>
        <w:pStyle w:val="Heading2"/>
      </w:pPr>
      <w:r>
        <w:t>Recommended Filenames</w:t>
      </w:r>
    </w:p>
    <w:p>
      <w:r>
        <w:t>AK-L02_Islam-as-a-Historical-Force_Original-Lecture-Notes.pdf</w:t>
      </w:r>
    </w:p>
    <w:p>
      <w:r>
        <w:t>AK-L02_Islam-as-a-Historical-Force_Clean-Transcript.docx</w:t>
      </w:r>
    </w:p>
    <w:p>
      <w:r>
        <w:t>AK-L02_Islam-as-a-Historical-Force_Lecture-Synopsis.docx</w:t>
      </w:r>
    </w:p>
    <w:p>
      <w:r>
        <w:t>AK-L02_Islam-as-a-Historical-Force_Further-Reading.docx</w:t>
      </w:r>
    </w:p>
    <w:p>
      <w:r>
        <w:t>AK-L02_Islam-as-a-Historical-Force_Web-Publishing-Notes.docx</w:t>
      </w:r>
    </w:p>
    <w:p>
      <w:pPr>
        <w:pStyle w:val="Heading2"/>
      </w:pPr>
      <w:r>
        <w:t>Archive Page Row Pattern</w:t>
      </w:r>
    </w:p>
    <w:p>
      <w:r>
        <w:t>&lt;tr&gt;</w:t>
        <w:br/>
        <w:t xml:space="preserve">  &lt;td&gt;&lt;a href="/islam-as-a-historical-force/"&gt;Islam as a Historical Force&lt;/a&gt;&lt;/td&gt;</w:t>
        <w:br/>
        <w:t xml:space="preserve">  &lt;td&gt;PDF 014&lt;/td&gt;</w:t>
        <w:br/>
        <w:t xml:space="preserve">  &lt;td&gt;&lt;a href="PASTE-ORIGINAL-SCAN-PDF-URL-HERE"&gt;PDF&lt;/a&gt;&lt;/td&gt;</w:t>
        <w:br/>
        <w:t xml:space="preserve">  &lt;td&gt;&lt;a href="PASTE-CLEAN-TRANSCRIPT-DOCX-URL-HERE"&gt;DOCX&lt;/a&gt;&lt;/td&gt;</w:t>
        <w:br/>
        <w:t xml:space="preserve">  &lt;td&gt;&lt;a href="PASTE-LECTURE-SYNOPSIS-DOCX-URL-HERE"&gt;DOCX&lt;/a&gt;&lt;/td&gt;</w:t>
        <w:br/>
        <w:t xml:space="preserve">  &lt;td&gt;&lt;a href="PASTE-FURTHER-READING-DOCX-URL-HERE"&gt;DOCX&lt;/a&gt;&lt;/td&gt;</w:t>
        <w:br/>
        <w:t>&lt;/tr&gt;</w:t>
      </w:r>
    </w:p>
    <w:p>
      <w:pPr>
        <w:pStyle w:val="Heading2"/>
      </w:pPr>
      <w:r>
        <w:t>SEO Guidance</w:t>
      </w:r>
    </w:p>
    <w:p>
      <w:r>
        <w:t>Suggested SEO title: Islam as a Historical Force | Professor Ann Kumar Archive</w:t>
      </w:r>
    </w:p>
    <w:p>
      <w:r>
        <w:t>Suggested meta description: Professor Ann Kumar’s lecture on Islam as a historical force traces Muhammad, the caliphates, Sufism, India and the wider Islamic background to Southeast Asian Islam.</w:t>
      </w:r>
    </w:p>
    <w:p>
      <w:r>
        <w:t>Suggested URL slug: /islam-as-a-historical-force/</w:t>
      </w:r>
    </w:p>
    <w:p>
      <w:pPr>
        <w:pStyle w:val="Heading2"/>
      </w:pPr>
      <w:r>
        <w:t>Image and Alt Text Guidance</w:t>
      </w:r>
    </w:p>
    <w:p>
      <w:r>
        <w:t>Suggested graphic: “Islamic Networks Across Island Southeast Asia.” Map Mecca, the Red Sea, Gujarat, Persia, India, Aceh, Pasai, Melaka, Java, Makassar and the southern Philippines with arrows for trade, pilgrimage, scholarship, Sufi teaching, texts and political legitimacy.</w:t>
      </w:r>
    </w:p>
    <w:p>
      <w:r>
        <w:t>Suggested alt text: Conceptual map showing Islamic trade, pilgrimage and scholarly networks linking Mecca, Gujarat, Aceh, Melaka, Java and Makassar.</w:t>
      </w:r>
    </w:p>
    <w:p>
      <w:pPr>
        <w:pStyle w:val="Heading2"/>
      </w:pPr>
      <w:r>
        <w:t>Caveat</w:t>
      </w:r>
    </w:p>
    <w:p>
      <w:r>
        <w:t>This package is built from OCR of a scanned PDF. The clean transcript is suitable for working publication and student use, but final scholarly proofing should check names, dates and page-order against the original scan.</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