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AK-L02: Islam as a Historical Force — Further Reading</w:t>
      </w:r>
    </w:p>
    <w:p>
      <w:pPr>
        <w:jc w:val="center"/>
      </w:pPr>
      <w:r>
        <w:rPr>
          <w:i/>
          <w:color w:val="4A5568"/>
          <w:sz w:val="22"/>
        </w:rPr>
        <w:t>A compact reading guide based on the lecture’s reference list and archive context.</w:t>
      </w:r>
    </w:p>
    <w:p>
      <w:r>
        <w:t>Resource package: AK-L02_Islam-as-a-Historical-Force</w:t>
      </w:r>
    </w:p>
    <w:p>
      <w:r>
        <w:t>Source: PDF Low Res-0014 — Lecture I, “Islam as a Historical Force”; Asian Civilisation IIISE / Malaysia–Indonesia sequence.</w:t>
      </w:r>
    </w:p>
    <w:p>
      <w:pPr>
        <w:pStyle w:val="Heading2"/>
      </w:pPr>
      <w:r>
        <w:t>Reading Note</w:t>
      </w:r>
    </w:p>
    <w:p>
      <w:r>
        <w:t>The original lecture references combine general works on Islamic history with specialised studies on Islam in Indonesia and Champa. The entries below preserve Professor Kumar’s reading pathway while adding short notes on how each source supports the lecture.</w:t>
      </w:r>
    </w:p>
    <w:p>
      <w:pPr>
        <w:pStyle w:val="Heading2"/>
      </w:pPr>
      <w:r>
        <w:t>Islamic Civilisation and General Background</w:t>
      </w:r>
    </w:p>
    <w:p>
      <w:r>
        <w:rPr>
          <w:b/>
        </w:rPr>
        <w:t>A. J. Arberry, ed., Islam Today.</w:t>
      </w:r>
      <w:r>
        <w:t xml:space="preserve"> A mid-twentieth-century overview of modern Muslim societies. The lecture notes refer to the chapter on Malaysia by R. O. Winstedt.</w:t>
      </w:r>
    </w:p>
    <w:p>
      <w:r>
        <w:rPr>
          <w:b/>
        </w:rPr>
        <w:t>Sir Thomas W. Arnold, The Preaching of Islam.</w:t>
      </w:r>
      <w:r>
        <w:t xml:space="preserve"> A classic account of the spread of Islam, useful for comparing missionary, commercial and political explanations of conversion.</w:t>
      </w:r>
    </w:p>
    <w:p>
      <w:r>
        <w:rPr>
          <w:b/>
        </w:rPr>
        <w:t>S. M. Ikram, Muslim Civilization in India.</w:t>
      </w:r>
      <w:r>
        <w:t xml:space="preserve"> Helpful for the Indian background to Islam’s movement into the Malay-Indonesian world.</w:t>
      </w:r>
    </w:p>
    <w:p>
      <w:r>
        <w:rPr>
          <w:b/>
        </w:rPr>
        <w:t>Gustave E. von Grunebaum, ed., Unity and Diversity in Muslim Civilization.</w:t>
      </w:r>
      <w:r>
        <w:t xml:space="preserve"> Useful for the lecture’s broad theme: Islam as a unified civilisation with immense regional diversity.</w:t>
      </w:r>
    </w:p>
    <w:p>
      <w:pPr>
        <w:pStyle w:val="Heading2"/>
      </w:pPr>
      <w:r>
        <w:t>Indonesia, Sufism and Islamisation</w:t>
      </w:r>
    </w:p>
    <w:p>
      <w:r>
        <w:rPr>
          <w:b/>
        </w:rPr>
        <w:t>A. H. Johns, “Sufism as a Category in Indonesian Literature and History,” Journal of Southeast Asian History, vol. II, no. 2, July 1961, pp. 10–23.</w:t>
      </w:r>
      <w:r>
        <w:t xml:space="preserve"> A key study for understanding Sufism as a bridge between Islam, literature and Indonesian cultural history.</w:t>
      </w:r>
    </w:p>
    <w:p>
      <w:r>
        <w:rPr>
          <w:b/>
        </w:rPr>
        <w:t>G. W. J. Drewes, “Indonesia: Mysticism and Activism,” in von Grunebaum, Unity and Diversity in Muslim Civilization.</w:t>
      </w:r>
      <w:r>
        <w:t xml:space="preserve"> Relevant to the relationship between mysticism, activism and Islamic practice in Indonesian contexts.</w:t>
      </w:r>
    </w:p>
    <w:p>
      <w:r>
        <w:rPr>
          <w:b/>
        </w:rPr>
        <w:t>G. W. J. Drewes, “New Light on the Coming of Islam to Indonesia?”, Bijdragen tot de Taal-, Land- en Volkenkunde, vol. 124, part 4, 1968, pp. 433 ff.</w:t>
      </w:r>
      <w:r>
        <w:t xml:space="preserve"> A specialised article on debates around the coming of Islam to Indonesia.</w:t>
      </w:r>
    </w:p>
    <w:p>
      <w:pPr>
        <w:pStyle w:val="Heading2"/>
      </w:pPr>
      <w:r>
        <w:t>Champa and Comparative Southeast Asian Context</w:t>
      </w:r>
    </w:p>
    <w:p>
      <w:r>
        <w:rPr>
          <w:b/>
        </w:rPr>
        <w:t>E. F. Aymonier, Les Tchames et leurs religions.</w:t>
      </w:r>
      <w:r>
        <w:t xml:space="preserve"> A source for the religious history of the Chams.</w:t>
      </w:r>
    </w:p>
    <w:p>
      <w:r>
        <w:rPr>
          <w:b/>
        </w:rPr>
        <w:t>A. Cabaton, Nouvelles recherches sur les Chams.</w:t>
      </w:r>
      <w:r>
        <w:t xml:space="preserve"> A further study of Cham history and society.</w:t>
      </w:r>
    </w:p>
    <w:p>
      <w:r>
        <w:rPr>
          <w:b/>
        </w:rPr>
        <w:t>R. F. Durand, “Les Chams Bani,” Bulletin de l’École française d’Extrême-Orient, vol. III, 1903.</w:t>
      </w:r>
      <w:r>
        <w:t xml:space="preserve"> Useful for Cham Muslim traditions.</w:t>
      </w:r>
    </w:p>
    <w:p>
      <w:r>
        <w:rPr>
          <w:b/>
        </w:rPr>
        <w:t>G. Maspero, Le Royaume de Champa.</w:t>
      </w:r>
      <w:r>
        <w:t xml:space="preserve"> A broader historical study of the kingdom of Champa.</w:t>
      </w:r>
    </w:p>
    <w:p>
      <w:pPr>
        <w:pStyle w:val="Heading2"/>
      </w:pPr>
      <w:r>
        <w:t>Archive Cross-Links</w:t>
      </w:r>
    </w:p>
    <w:p>
      <w:r>
        <w:t>Aceh: Islamic State, Trade and Scholarship</w:t>
      </w:r>
    </w:p>
    <w:p>
      <w:r>
        <w:t>The Rise of Mataram: Organisation and Conflict with the VOC</w:t>
      </w:r>
    </w:p>
    <w:p>
      <w:r>
        <w:t>Dipanagara and the Java War, 1825–1830</w:t>
      </w:r>
    </w:p>
    <w:p>
      <w:r>
        <w:t>The Growth of Malay National Feeling and the Traditional Aristocracy</w:t>
      </w:r>
    </w:p>
    <w:p>
      <w:r>
        <w:t>The Rise of Indonesian Nationalism, 1900–1942</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