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D49A2A"/>
          <w:sz w:val="20"/>
        </w:rPr>
        <w:t>Professor Ann Kumar Southeast Asian Civilisation Archive</w:t>
      </w:r>
    </w:p>
    <w:p>
      <w:pPr>
        <w:pStyle w:val="Title"/>
        <w:jc w:val="center"/>
      </w:pPr>
      <w:r>
        <w:t>Indonesian Cores and Zones</w:t>
      </w:r>
    </w:p>
    <w:p>
      <w:pPr>
        <w:jc w:val="center"/>
      </w:pPr>
      <w:r>
        <w:rPr>
          <w:i/>
          <w:color w:val="425466"/>
          <w:sz w:val="22"/>
        </w:rPr>
        <w:t>Lecture synopsis</w:t>
      </w:r>
    </w:p>
    <w:p>
      <w:pPr>
        <w:jc w:val="center"/>
      </w:pPr>
      <w:r>
        <w:rPr>
          <w:color w:val="425466"/>
          <w:sz w:val="18"/>
        </w:rPr>
        <w:t>Resource pack: Indonesian Cores and Zones | Source: AK Lecture Notes PDF 006 / Asian Civilisation IIISE, First Term 1973</w:t>
      </w:r>
    </w:p>
    <w:p/>
    <w:p>
      <w:pPr>
        <w:pStyle w:val="Heading1"/>
      </w:pPr>
      <w:r>
        <w:t>Short Summary</w:t>
      </w:r>
    </w:p>
    <w:p>
      <w:r>
        <w:t>This lecture introduces John Smail’s “cores and zones” framework as a way of understanding Southeast Asian history on its own terms. Instead of beginning with European arrival, the framework identifies indigenous political and cultural formations: agricultural cores, maritime and upland zones, and stateless or loosely organised societies. The lecture provides the conceptual foundation for the whole archive.</w:t>
      </w:r>
    </w:p>
    <w:p>
      <w:pPr>
        <w:pStyle w:val="Heading1"/>
      </w:pPr>
      <w:r>
        <w:t>Central Argument</w:t>
      </w:r>
    </w:p>
    <w:p>
      <w:r>
        <w:t>Southeast Asia should not be treated as a passive space awaiting European intervention. It was already organised into complex historical formations. Some regions developed as agricultural, surplus-producing political cores; others functioned as wider zones of cultural affinity, trade, mobility and shifting identity. European traders initially entered these existing structures rather than replacing them outright.</w:t>
      </w:r>
    </w:p>
    <w:p>
      <w:pPr>
        <w:pStyle w:val="Heading1"/>
      </w:pPr>
      <w:r>
        <w:t>Key Concepts</w:t>
      </w:r>
    </w:p>
    <w:p>
      <w:r>
        <w:rPr>
          <w:b/>
        </w:rPr>
        <w:t xml:space="preserve">Core: </w:t>
      </w:r>
      <w:r>
        <w:t>A consolidated political and cultural centre, usually based on dense wet-rice agriculture and capable of sustaining state organisation.</w:t>
      </w:r>
    </w:p>
    <w:p>
      <w:r>
        <w:rPr>
          <w:b/>
        </w:rPr>
        <w:t xml:space="preserve">Zone: </w:t>
      </w:r>
      <w:r>
        <w:t>A wider cultural-geographical region with some shared identity but weaker political unity, often containing many small polities and shifting relationships.</w:t>
      </w:r>
    </w:p>
    <w:p>
      <w:r>
        <w:rPr>
          <w:b/>
        </w:rPr>
        <w:t xml:space="preserve">Crystallisation: </w:t>
      </w:r>
      <w:r>
        <w:t>The process by which a group of people or communities becomes organised into a more coherent political entity.</w:t>
      </w:r>
    </w:p>
    <w:p>
      <w:r>
        <w:rPr>
          <w:b/>
        </w:rPr>
        <w:t xml:space="preserve">Malayo-Muslim Zone: </w:t>
      </w:r>
      <w:r>
        <w:t>A maritime world of trade, Islam, Malay language, coastal polities and long-distance exchange.</w:t>
      </w:r>
    </w:p>
    <w:p>
      <w:r>
        <w:rPr>
          <w:b/>
        </w:rPr>
        <w:t xml:space="preserve">European Entry: </w:t>
      </w:r>
      <w:r>
        <w:t>The Portuguese and Dutch first appear not as immediate territorial rulers but as trading peoples operating within existing Southeast Asian systems.</w:t>
      </w:r>
    </w:p>
    <w:p>
      <w:pPr>
        <w:pStyle w:val="Heading1"/>
      </w:pPr>
      <w:r>
        <w:t>Teaching Sequence</w:t>
      </w:r>
    </w:p>
    <w:p>
      <w:r>
        <w:t>1. Define the “core” and explain why agricultural surplus is central to state formation.</w:t>
      </w:r>
    </w:p>
    <w:p>
      <w:r>
        <w:t>2. Define the “zone” and emphasise cultural affinity without political unity.</w:t>
      </w:r>
    </w:p>
    <w:p>
      <w:r>
        <w:t>3. Use Leach’s Shan-Kachin example to show the fluidity of identity in a zone.</w:t>
      </w:r>
    </w:p>
    <w:p>
      <w:r>
        <w:t>4. Locate Europeans within the Malayo-Muslim trading world rather than outside it.</w:t>
      </w:r>
    </w:p>
    <w:p>
      <w:r>
        <w:t>5. Use the comparative table to distinguish mainland cores, island cores, maritime zones and stateless societies.</w:t>
      </w:r>
    </w:p>
    <w:p>
      <w:pPr>
        <w:pStyle w:val="Heading1"/>
      </w:pPr>
      <w:r>
        <w:t>Why This Lecture Matters</w:t>
      </w:r>
    </w:p>
    <w:p>
      <w:r>
        <w:t>The lecture gives the archive its organising grammar. Later lectures on Mataram, Aceh, Makassar, South Celebes, the VOC and nationalism all become clearer when read through the distinction between cores, zones, trade networks, political centres and frontier regions. It also embodies the archive’s central methodological principle: Southeast Asian civilisation must be read from within its own historical structures, not merely through colonial chronology.</w:t>
      </w:r>
    </w:p>
    <w:p>
      <w:pPr>
        <w:pStyle w:val="Heading1"/>
      </w:pPr>
      <w:r>
        <w:t>Related Archive Pathways</w:t>
      </w:r>
    </w:p>
    <w:p>
      <w:pPr>
        <w:pStyle w:val="ListBullet"/>
      </w:pPr>
      <w:r>
        <w:t>The Framework hub</w:t>
      </w:r>
    </w:p>
    <w:p>
      <w:pPr>
        <w:pStyle w:val="ListBullet"/>
      </w:pPr>
      <w:r>
        <w:t>Islam as a Historical Force</w:t>
      </w:r>
    </w:p>
    <w:p>
      <w:pPr>
        <w:pStyle w:val="ListBullet"/>
      </w:pPr>
      <w:r>
        <w:t>The Rise of Mataram</w:t>
      </w:r>
    </w:p>
    <w:p>
      <w:pPr>
        <w:pStyle w:val="ListBullet"/>
      </w:pPr>
      <w:r>
        <w:t>Aceh: Islamic State, Trade and Scholarship</w:t>
      </w:r>
    </w:p>
    <w:p>
      <w:pPr>
        <w:pStyle w:val="ListBullet"/>
      </w:pPr>
      <w:r>
        <w:t>The Dutch Strategy in the Seventeenth Century</w:t>
      </w:r>
    </w:p>
    <w:p>
      <w:pPr>
        <w:pStyle w:val="ListBullet"/>
      </w:pPr>
      <w:r>
        <w:t>The Growth of Malay National Feeling and the Traditional Aristocracy</w:t>
      </w:r>
    </w:p>
    <w:sectPr w:rsidR="00FC693F" w:rsidRPr="0006063C" w:rsidSect="00034616">
      <w:pgSz w:w="12240" w:h="15840"/>
      <w:pgMar w:top="1008" w:right="1037" w:bottom="1008"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73B5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73B5F"/>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73B5F"/>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73B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