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D49A2A"/>
          <w:sz w:val="20"/>
        </w:rPr>
        <w:t>Professor Ann Kumar Southeast Asian Civilisation Archive</w:t>
      </w:r>
    </w:p>
    <w:p>
      <w:pPr>
        <w:pStyle w:val="Title"/>
        <w:jc w:val="center"/>
      </w:pPr>
      <w:r>
        <w:t>Indonesian Cores and Zones</w:t>
      </w:r>
    </w:p>
    <w:p>
      <w:pPr>
        <w:jc w:val="center"/>
      </w:pPr>
      <w:r>
        <w:rPr>
          <w:i/>
          <w:color w:val="425466"/>
          <w:sz w:val="22"/>
        </w:rPr>
        <w:t>Further reading note</w:t>
      </w:r>
    </w:p>
    <w:p>
      <w:pPr>
        <w:jc w:val="center"/>
      </w:pPr>
      <w:r>
        <w:rPr>
          <w:color w:val="425466"/>
          <w:sz w:val="18"/>
        </w:rPr>
        <w:t>Resource pack: Indonesian Cores and Zones | Source: AK Lecture Notes PDF 006 / Asian Civilisation IIISE, First Term 1973</w:t>
      </w:r>
    </w:p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66"/>
      </w:tblGrid>
      <w:tr>
        <w:tc>
          <w:tcPr>
            <w:tcW w:type="dxa" w:w="10166"/>
            <w:shd w:fill="EEF4F7"/>
          </w:tcPr>
          <w:p>
            <w:r>
              <w:rPr>
                <w:b/>
                <w:color w:val="173B5F"/>
                <w:sz w:val="22"/>
              </w:rPr>
              <w:t>Bibliographic note</w:t>
            </w:r>
          </w:p>
          <w:p>
            <w:pPr>
              <w:spacing w:after="80"/>
            </w:pPr>
            <w:r>
              <w:t>This is a working further-reading list. Full publication details should be checked against Professor Kumar’s original reading lists and the final bibliography before public release.</w:t>
            </w:r>
          </w:p>
        </w:tc>
      </w:tr>
    </w:tbl>
    <w:p>
      <w:pPr>
        <w:pStyle w:val="Heading1"/>
      </w:pPr>
      <w:r>
        <w:t>Core Readings</w:t>
      </w:r>
    </w:p>
    <w:p>
      <w:pPr>
        <w:pStyle w:val="Heading2"/>
      </w:pPr>
      <w:r>
        <w:t>John R. W. Smail</w:t>
      </w:r>
    </w:p>
    <w:p>
      <w:r>
        <w:rPr>
          <w:i/>
        </w:rPr>
        <w:t>“On the Possibility of an Autonomous History of Modern Southeast Asia.”</w:t>
      </w:r>
    </w:p>
    <w:p>
      <w:r>
        <w:t>Essential for the archive’s non-Eurocentric method. Smail argues for Southeast Asian history to be read through indigenous historical dynamics rather than merely through European impact.</w:t>
      </w:r>
    </w:p>
    <w:p>
      <w:pPr>
        <w:pStyle w:val="Heading2"/>
      </w:pPr>
      <w:r>
        <w:t>John R. W. Smail</w:t>
      </w:r>
    </w:p>
    <w:p>
      <w:r>
        <w:rPr>
          <w:i/>
        </w:rPr>
        <w:t>“Cores and Zones” teaching framework, 1972.</w:t>
      </w:r>
    </w:p>
    <w:p>
      <w:r>
        <w:t>The immediate conceptual source for the comparative table used in the lecture. Publication or lecture-source details should be verified before final citation.</w:t>
      </w:r>
    </w:p>
    <w:p>
      <w:pPr>
        <w:pStyle w:val="Heading2"/>
      </w:pPr>
      <w:r>
        <w:t>Edmund R. Leach</w:t>
      </w:r>
    </w:p>
    <w:p>
      <w:r>
        <w:rPr>
          <w:i/>
        </w:rPr>
        <w:t>Political Systems of Highland Burma: A Study of Kachin Social Structure.</w:t>
      </w:r>
    </w:p>
    <w:p>
      <w:r>
        <w:t>Useful for understanding shifting identities, Shan-Kachin relations and the instability of fixed cultural boundaries within a zone.</w:t>
      </w:r>
    </w:p>
    <w:p>
      <w:pPr>
        <w:pStyle w:val="Heading2"/>
      </w:pPr>
      <w:r>
        <w:t>O. W. Wolters</w:t>
      </w:r>
    </w:p>
    <w:p>
      <w:r>
        <w:rPr>
          <w:i/>
        </w:rPr>
        <w:t>History, Culture, and Region in Southeast Asian Perspectives.</w:t>
      </w:r>
    </w:p>
    <w:p>
      <w:r>
        <w:t>Important for regional approaches to Southeast Asian history and for thinking beyond rigid national or colonial units.</w:t>
      </w:r>
    </w:p>
    <w:p>
      <w:pPr>
        <w:pStyle w:val="Heading2"/>
      </w:pPr>
      <w:r>
        <w:t>Anthony Reid</w:t>
      </w:r>
    </w:p>
    <w:p>
      <w:r>
        <w:rPr>
          <w:i/>
        </w:rPr>
        <w:t>Southeast Asia in the Age of Commerce, 1450–1680.</w:t>
      </w:r>
    </w:p>
    <w:p>
      <w:r>
        <w:t>Useful background for the maritime and commercial worlds that shaped the Malayo-Muslim zone.</w:t>
      </w:r>
    </w:p>
    <w:p>
      <w:pPr>
        <w:pStyle w:val="Heading2"/>
      </w:pPr>
      <w:r>
        <w:t>D. G. E. Hall</w:t>
      </w:r>
    </w:p>
    <w:p>
      <w:r>
        <w:rPr>
          <w:i/>
        </w:rPr>
        <w:t>A History of South-East Asia.</w:t>
      </w:r>
    </w:p>
    <w:p>
      <w:r>
        <w:t>A broad regional survey helpful for locating the cores and zones framework within a wider historical narrative.</w:t>
      </w:r>
    </w:p>
    <w:p>
      <w:pPr>
        <w:pStyle w:val="Heading2"/>
      </w:pPr>
      <w:r>
        <w:t>Victor Lieberman</w:t>
      </w:r>
    </w:p>
    <w:p>
      <w:r>
        <w:rPr>
          <w:i/>
        </w:rPr>
        <w:t>Strange Parallels: Southeast Asia in Global Context, c. 800–1830.</w:t>
      </w:r>
    </w:p>
    <w:p>
      <w:r>
        <w:t>Later comparative work on state formation, mainland integration and parallel historical developments across Eurasia.</w:t>
      </w:r>
    </w:p>
    <w:p>
      <w:pPr>
        <w:pStyle w:val="Heading2"/>
      </w:pPr>
      <w:r>
        <w:t>Barbara Watson Andaya and Leonard Y. Andaya</w:t>
      </w:r>
    </w:p>
    <w:p>
      <w:r>
        <w:rPr>
          <w:i/>
        </w:rPr>
        <w:t>A History of Early Modern Southeast Asia, 1400–1830.</w:t>
      </w:r>
    </w:p>
    <w:p>
      <w:r>
        <w:t>A modern synthesis useful for students moving from the framework lecture into the archive’s early modern case studies.</w:t>
      </w:r>
    </w:p>
    <w:p>
      <w:pPr>
        <w:pStyle w:val="Heading2"/>
      </w:pPr>
      <w:r>
        <w:t>M. C. Ricklefs</w:t>
      </w:r>
    </w:p>
    <w:p>
      <w:r>
        <w:rPr>
          <w:i/>
        </w:rPr>
        <w:t>A History of Modern Indonesia since c. 1200.</w:t>
      </w:r>
    </w:p>
    <w:p>
      <w:r>
        <w:t>Useful for the Java and Indonesian materials that follow from the framework lecture, particularly Mataram and later colonial transitions.</w:t>
      </w:r>
    </w:p>
    <w:p>
      <w:pPr>
        <w:pStyle w:val="Heading2"/>
      </w:pPr>
      <w:r>
        <w:t>Clifford Geertz</w:t>
      </w:r>
    </w:p>
    <w:p>
      <w:r>
        <w:rPr>
          <w:i/>
        </w:rPr>
        <w:t>Agricultural Involution: The Processes of Ecological Change in Indonesia.</w:t>
      </w:r>
    </w:p>
    <w:p>
      <w:r>
        <w:t>A later and debated work, but useful for thinking about Java, wet-rice agriculture and social intensification.</w:t>
      </w:r>
    </w:p>
    <w:p>
      <w:pPr>
        <w:pStyle w:val="Heading1"/>
      </w:pPr>
      <w:r>
        <w:t>Suggested Reading Path for Students</w:t>
      </w:r>
    </w:p>
    <w:p>
      <w:r>
        <w:t>1. Begin with Smail for method.</w:t>
      </w:r>
    </w:p>
    <w:p>
      <w:r>
        <w:t>2. Read Leach to understand why “zone” identities are fluid rather than fixed.</w:t>
      </w:r>
    </w:p>
    <w:p>
      <w:r>
        <w:t>3. Use Hall or the Andayas for broad regional chronology.</w:t>
      </w:r>
    </w:p>
    <w:p>
      <w:r>
        <w:t>4. Move to Reid and Wolters for maritime and regional perspectives.</w:t>
      </w:r>
    </w:p>
    <w:p>
      <w:r>
        <w:t>5. Use Ricklefs and Geertz when moving into the Java lectures.</w:t>
      </w:r>
    </w:p>
    <w:sectPr w:rsidR="00FC693F" w:rsidRPr="0006063C" w:rsidSect="00034616">
      <w:pgSz w:w="12240" w:h="15840"/>
      <w:pgMar w:top="1008" w:right="1037" w:bottom="1008" w:left="103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Georgia" w:hAnsi="Georgia" w:eastAsia="Georgia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Georgia" w:hAnsi="Georgia" w:eastAsia="Georgia"/>
      <w:b/>
      <w:bCs/>
      <w:color w:val="173B5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Georgia" w:hAnsi="Georgia" w:eastAsia="Georgia"/>
      <w:b/>
      <w:bCs/>
      <w:color w:val="173B5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Georgia" w:hAnsi="Georgia" w:eastAsia="Georgia"/>
      <w:b/>
      <w:bCs/>
      <w:color w:val="173B5F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Georgia" w:hAnsi="Georgia" w:eastAsia="Georgia"/>
      <w:color w:val="173B5F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