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D49A2A"/>
          <w:sz w:val="20"/>
        </w:rPr>
        <w:t>Professor Ann Kumar Southeast Asian Civilisation Archive</w:t>
      </w:r>
    </w:p>
    <w:p>
      <w:pPr>
        <w:pStyle w:val="Title"/>
        <w:jc w:val="center"/>
      </w:pPr>
      <w:r>
        <w:t>Indonesian Cores and Zones</w:t>
      </w:r>
    </w:p>
    <w:p>
      <w:pPr>
        <w:jc w:val="center"/>
      </w:pPr>
      <w:r>
        <w:rPr>
          <w:i/>
          <w:color w:val="425466"/>
          <w:sz w:val="22"/>
        </w:rPr>
        <w:t>Clean transcript and reconstructed teaching table</w:t>
      </w:r>
    </w:p>
    <w:p>
      <w:pPr>
        <w:jc w:val="center"/>
      </w:pPr>
      <w:r>
        <w:rPr>
          <w:color w:val="425466"/>
          <w:sz w:val="18"/>
        </w:rPr>
        <w:t>Resource pack: Indonesian Cores and Zones | Source: AK Lecture Notes PDF 006 / Asian Civilisation IIISE, First Term 1973</w:t>
      </w:r>
    </w:p>
    <w:p/>
    <w:tbl>
      <w:tblPr>
        <w:tblW w:type="auto" w:w="0"/>
        <w:jc w:val="center"/>
        <w:tblLook w:firstColumn="1" w:firstRow="1" w:lastColumn="0" w:lastRow="0" w:noHBand="0" w:noVBand="1" w:val="04A0"/>
      </w:tblPr>
      <w:tblGrid>
        <w:gridCol w:w="10166"/>
      </w:tblGrid>
      <w:tr>
        <w:tc>
          <w:tcPr>
            <w:tcW w:type="dxa" w:w="10166"/>
            <w:shd w:fill="EEF4F7"/>
          </w:tcPr>
          <w:p>
            <w:r>
              <w:rPr>
                <w:b/>
                <w:color w:val="173B5F"/>
                <w:sz w:val="22"/>
              </w:rPr>
              <w:t>Editorial note</w:t>
            </w:r>
          </w:p>
          <w:p>
            <w:pPr>
              <w:spacing w:after="80"/>
            </w:pPr>
            <w:r>
              <w:t>This clean transcript has been prepared from the OCR text of AK Lecture Notes PDF 006. Obvious OCR errors have been silently corrected for readability. The comparative table has been reconstructed from the typed/OCR table; a small number of date or category cells remain uncertain and should be checked against the original manuscript scan before final publication.</w:t>
            </w:r>
          </w:p>
        </w:tc>
      </w:tr>
    </w:tbl>
    <w:p>
      <w:pPr>
        <w:pStyle w:val="Heading1"/>
      </w:pPr>
      <w:r>
        <w:t>Concept of “Cores” and “Zones” as Developed by John Smail</w:t>
      </w:r>
    </w:p>
    <w:p>
      <w:pPr>
        <w:pStyle w:val="Heading2"/>
      </w:pPr>
      <w:r>
        <w:t>Cores</w:t>
      </w:r>
    </w:p>
    <w:p>
      <w:r>
        <w:t>Here one could almost as well retain the conventional terms “country” or “state”, except that they carry too strong a connotation of fixed boundaries. What is meant by a core is a group of relatively homogeneous people formed by certain events into a political entity: for example, Pagan or Mataram. Smail calls this process “crystallisation”.</w:t>
      </w:r>
    </w:p>
    <w:p>
      <w:r>
        <w:t>This raises the question of whether there was some pre-existing cultural unity among the people concerned which allowed political organisation to develop, or whether it was a question of an initially very small unit — a city-state — extending its influence to include an increasingly large population. Probably it was a little of both.</w:t>
      </w:r>
    </w:p>
    <w:p>
      <w:r>
        <w:t>To have any sort of state, one must have a surplus. Therefore all the Southeast Asian cores are characterised by an agricultural base. This is not necessarily the case in the zones.</w:t>
      </w:r>
    </w:p>
    <w:p>
      <w:pPr>
        <w:pStyle w:val="Heading2"/>
      </w:pPr>
      <w:r>
        <w:t>Zones</w:t>
      </w:r>
    </w:p>
    <w:p>
      <w:r>
        <w:t>Here Smail appears to define a geographical area in terms of the characteristics of its dominant group, such as the Shan-Lao group or the Malay group. This group has a large measure of cultural unity but not political unity.</w:t>
      </w:r>
    </w:p>
    <w:p>
      <w:r>
        <w:t>Zones are usually organised into a number of small political entities — mini-cores — which are often of a similar structure throughout the region, such as the Shan sawba-ship. However, the total geographical and human space of the zone is not culturally homogeneous. The main group lives among other groups, and the area is characterised by various relationships of symbiosis, tension and shifting identity. It may be comparable with a constellation.</w:t>
      </w:r>
    </w:p>
    <w:p>
      <w:r>
        <w:t>The dominant group of a zone is much less able to draw others into its own cultural norms than is the case in the cores.</w:t>
      </w:r>
    </w:p>
    <w:p>
      <w:pPr>
        <w:pStyle w:val="Heading2"/>
      </w:pPr>
      <w:r>
        <w:t>Leach’s Highland Burma Example</w:t>
      </w:r>
    </w:p>
    <w:p>
      <w:r>
        <w:t>Leach’s study, Political Systems of Highland Burma, examines the relationship between Shans and Kachins. Some Kachins adopt the Shan way of life — Shan being widely regarded as more “civilised” — but many others seem to oscillate between Shan and Kachin identity. This illustrates the fluidity and instability of cultural boundaries within a zone.</w:t>
      </w:r>
    </w:p>
    <w:p>
      <w:pPr>
        <w:pStyle w:val="Heading2"/>
      </w:pPr>
      <w:r>
        <w:t>Europeans in the Cores-and-Zones Framework</w:t>
      </w:r>
    </w:p>
    <w:p>
      <w:r>
        <w:t>How do Europeans fit into this picture? In the early centuries of European expansion, they changed it comparatively little. The Portuguese and Dutch, when they first arrived, can be seen as another trading people operating within the Malayo-Muslim zone. They established trading posts rather than territorial empires.</w:t>
      </w:r>
    </w:p>
    <w:p>
      <w:r>
        <w:t>Batavia, the Dutch centre on Java, lay outside the Javanese core area, which the Dutch only took over later. The one case where Europeans of this era significantly reorganised the pre-existing pattern was the Philippines. There they set in motion political events that led to the formation of a new core.</w:t>
      </w:r>
    </w:p>
    <w:p>
      <w:pPr>
        <w:pStyle w:val="Heading1"/>
      </w:pPr>
      <w:r>
        <w:t>“Cores and Zones” — About 1800</w:t>
      </w:r>
    </w:p>
    <w:p>
      <w:r>
        <w:t>The following table reconstructs the comparative teaching table attributed to John Smail, 1972. It is intended as a clean working version for students and should be checked against the scan before final publication.</w:t>
      </w:r>
    </w:p>
    <w:tbl>
      <w:tblPr>
        <w:tblStyle w:val="TableGrid"/>
        <w:tblW w:type="auto" w:w="0"/>
        <w:jc w:val="center"/>
        <w:tblLook w:firstColumn="1" w:firstRow="1" w:lastColumn="0" w:lastRow="0" w:noHBand="0" w:noVBand="1" w:val="04A0"/>
      </w:tblPr>
      <w:tblGrid>
        <w:gridCol w:w="1452"/>
        <w:gridCol w:w="1452"/>
        <w:gridCol w:w="1452"/>
        <w:gridCol w:w="1452"/>
        <w:gridCol w:w="1452"/>
        <w:gridCol w:w="1452"/>
        <w:gridCol w:w="1452"/>
      </w:tblGrid>
      <w:tr>
        <w:tc>
          <w:tcPr>
            <w:tcW w:type="dxa" w:w="1452"/>
            <w:shd w:fill="173B5F"/>
            <w:vAlign w:val="top"/>
          </w:tcPr>
          <w:p>
            <w:r/>
            <w:r>
              <w:rPr>
                <w:b/>
                <w:color w:val="FFFFFF"/>
                <w:sz w:val="18"/>
              </w:rPr>
              <w:t>Type</w:t>
            </w:r>
          </w:p>
        </w:tc>
        <w:tc>
          <w:tcPr>
            <w:tcW w:type="dxa" w:w="1452"/>
            <w:shd w:fill="173B5F"/>
            <w:vAlign w:val="top"/>
          </w:tcPr>
          <w:p>
            <w:r/>
            <w:r>
              <w:rPr>
                <w:b/>
                <w:color w:val="FFFFFF"/>
                <w:sz w:val="18"/>
              </w:rPr>
              <w:t>Economic base and population</w:t>
            </w:r>
          </w:p>
        </w:tc>
        <w:tc>
          <w:tcPr>
            <w:tcW w:type="dxa" w:w="1452"/>
            <w:shd w:fill="173B5F"/>
            <w:vAlign w:val="top"/>
          </w:tcPr>
          <w:p>
            <w:r/>
            <w:r>
              <w:rPr>
                <w:b/>
                <w:color w:val="FFFFFF"/>
                <w:sz w:val="18"/>
              </w:rPr>
              <w:t>Where found</w:t>
            </w:r>
          </w:p>
        </w:tc>
        <w:tc>
          <w:tcPr>
            <w:tcW w:type="dxa" w:w="1452"/>
            <w:shd w:fill="173B5F"/>
            <w:vAlign w:val="top"/>
          </w:tcPr>
          <w:p>
            <w:r/>
            <w:r>
              <w:rPr>
                <w:b/>
                <w:color w:val="FFFFFF"/>
                <w:sz w:val="18"/>
              </w:rPr>
              <w:t>Civic tradition / religion</w:t>
            </w:r>
          </w:p>
        </w:tc>
        <w:tc>
          <w:tcPr>
            <w:tcW w:type="dxa" w:w="1452"/>
            <w:shd w:fill="173B5F"/>
            <w:vAlign w:val="top"/>
          </w:tcPr>
          <w:p>
            <w:r/>
            <w:r>
              <w:rPr>
                <w:b/>
                <w:color w:val="FFFFFF"/>
                <w:sz w:val="18"/>
              </w:rPr>
              <w:t>Ethnic / language</w:t>
            </w:r>
          </w:p>
        </w:tc>
        <w:tc>
          <w:tcPr>
            <w:tcW w:type="dxa" w:w="1452"/>
            <w:shd w:fill="173B5F"/>
            <w:vAlign w:val="top"/>
          </w:tcPr>
          <w:p>
            <w:r/>
            <w:r>
              <w:rPr>
                <w:b/>
                <w:color w:val="FFFFFF"/>
                <w:sz w:val="18"/>
              </w:rPr>
              <w:t>Political organisation</w:t>
            </w:r>
          </w:p>
        </w:tc>
        <w:tc>
          <w:tcPr>
            <w:tcW w:type="dxa" w:w="1452"/>
            <w:shd w:fill="173B5F"/>
            <w:vAlign w:val="top"/>
          </w:tcPr>
          <w:p>
            <w:r/>
            <w:r>
              <w:rPr>
                <w:b/>
                <w:color w:val="FFFFFF"/>
                <w:sz w:val="18"/>
              </w:rPr>
              <w:t>Crystallisation / period</w:t>
            </w:r>
          </w:p>
        </w:tc>
      </w:tr>
      <w:tr>
        <w:tc>
          <w:tcPr>
            <w:tcW w:type="dxa" w:w="1452"/>
            <w:vAlign w:val="top"/>
          </w:tcPr>
          <w:p>
            <w:r/>
            <w:r>
              <w:rPr>
                <w:b w:val="0"/>
                <w:sz w:val="18"/>
              </w:rPr>
              <w:t>Cores</w:t>
            </w:r>
          </w:p>
        </w:tc>
        <w:tc>
          <w:tcPr>
            <w:tcW w:type="dxa" w:w="1452"/>
            <w:vAlign w:val="top"/>
          </w:tcPr>
          <w:p>
            <w:r/>
            <w:r>
              <w:rPr>
                <w:b w:val="0"/>
                <w:sz w:val="18"/>
              </w:rPr>
              <w:t>Rice plains; dense population</w:t>
            </w:r>
          </w:p>
        </w:tc>
        <w:tc>
          <w:tcPr>
            <w:tcW w:type="dxa" w:w="1452"/>
            <w:vAlign w:val="top"/>
          </w:tcPr>
          <w:p>
            <w:r/>
            <w:r>
              <w:rPr>
                <w:b w:val="0"/>
                <w:sz w:val="18"/>
              </w:rPr>
              <w:t>Irrawaddy valley</w:t>
            </w:r>
          </w:p>
        </w:tc>
        <w:tc>
          <w:tcPr>
            <w:tcW w:type="dxa" w:w="1452"/>
            <w:vAlign w:val="top"/>
          </w:tcPr>
          <w:p>
            <w:r/>
            <w:r>
              <w:rPr>
                <w:b w:val="0"/>
                <w:sz w:val="18"/>
              </w:rPr>
              <w:t>Theravada Buddhist</w:t>
            </w:r>
          </w:p>
        </w:tc>
        <w:tc>
          <w:tcPr>
            <w:tcW w:type="dxa" w:w="1452"/>
            <w:vAlign w:val="top"/>
          </w:tcPr>
          <w:p>
            <w:r/>
            <w:r>
              <w:rPr>
                <w:b w:val="0"/>
                <w:sz w:val="18"/>
              </w:rPr>
              <w:t>Burman</w:t>
            </w:r>
          </w:p>
        </w:tc>
        <w:tc>
          <w:tcPr>
            <w:tcW w:type="dxa" w:w="1452"/>
            <w:vAlign w:val="top"/>
          </w:tcPr>
          <w:p>
            <w:r/>
            <w:r>
              <w:rPr>
                <w:b w:val="0"/>
                <w:sz w:val="18"/>
              </w:rPr>
              <w:t>“Indian-type” state</w:t>
            </w:r>
          </w:p>
        </w:tc>
        <w:tc>
          <w:tcPr>
            <w:tcW w:type="dxa" w:w="1452"/>
            <w:vAlign w:val="top"/>
          </w:tcPr>
          <w:p>
            <w:r/>
            <w:r>
              <w:rPr>
                <w:b w:val="0"/>
                <w:sz w:val="18"/>
              </w:rPr>
              <w:t>11th century</w:t>
            </w:r>
          </w:p>
        </w:tc>
      </w:tr>
      <w:tr>
        <w:tc>
          <w:tcPr>
            <w:tcW w:type="dxa" w:w="1452"/>
            <w:vAlign w:val="top"/>
          </w:tcPr>
          <w:p>
            <w:r/>
            <w:r>
              <w:rPr>
                <w:b w:val="0"/>
                <w:sz w:val="18"/>
              </w:rPr>
              <w:t>Cores</w:t>
            </w:r>
          </w:p>
        </w:tc>
        <w:tc>
          <w:tcPr>
            <w:tcW w:type="dxa" w:w="1452"/>
            <w:vAlign w:val="top"/>
          </w:tcPr>
          <w:p>
            <w:r/>
            <w:r>
              <w:rPr>
                <w:b w:val="0"/>
                <w:sz w:val="18"/>
              </w:rPr>
              <w:t>Rice plains; dense population</w:t>
            </w:r>
          </w:p>
        </w:tc>
        <w:tc>
          <w:tcPr>
            <w:tcW w:type="dxa" w:w="1452"/>
            <w:vAlign w:val="top"/>
          </w:tcPr>
          <w:p>
            <w:r/>
            <w:r>
              <w:rPr>
                <w:b w:val="0"/>
                <w:sz w:val="18"/>
              </w:rPr>
              <w:t>Lower Menam</w:t>
            </w:r>
          </w:p>
        </w:tc>
        <w:tc>
          <w:tcPr>
            <w:tcW w:type="dxa" w:w="1452"/>
            <w:vAlign w:val="top"/>
          </w:tcPr>
          <w:p>
            <w:r/>
            <w:r>
              <w:rPr>
                <w:b w:val="0"/>
                <w:sz w:val="18"/>
              </w:rPr>
              <w:t>Theravada Buddhist</w:t>
            </w:r>
          </w:p>
        </w:tc>
        <w:tc>
          <w:tcPr>
            <w:tcW w:type="dxa" w:w="1452"/>
            <w:vAlign w:val="top"/>
          </w:tcPr>
          <w:p>
            <w:r/>
            <w:r>
              <w:rPr>
                <w:b w:val="0"/>
                <w:sz w:val="18"/>
              </w:rPr>
              <w:t>Siamese</w:t>
            </w:r>
          </w:p>
        </w:tc>
        <w:tc>
          <w:tcPr>
            <w:tcW w:type="dxa" w:w="1452"/>
            <w:vAlign w:val="top"/>
          </w:tcPr>
          <w:p>
            <w:r/>
            <w:r>
              <w:rPr>
                <w:b w:val="0"/>
                <w:sz w:val="18"/>
              </w:rPr>
              <w:t>“Indian-type” state</w:t>
            </w:r>
          </w:p>
        </w:tc>
        <w:tc>
          <w:tcPr>
            <w:tcW w:type="dxa" w:w="1452"/>
            <w:vAlign w:val="top"/>
          </w:tcPr>
          <w:p>
            <w:r/>
            <w:r>
              <w:rPr>
                <w:b w:val="0"/>
                <w:sz w:val="18"/>
              </w:rPr>
              <w:t>14th century</w:t>
            </w:r>
          </w:p>
        </w:tc>
      </w:tr>
      <w:tr>
        <w:tc>
          <w:tcPr>
            <w:tcW w:type="dxa" w:w="1452"/>
            <w:vAlign w:val="top"/>
          </w:tcPr>
          <w:p>
            <w:r/>
            <w:r>
              <w:rPr>
                <w:b w:val="0"/>
                <w:sz w:val="18"/>
              </w:rPr>
              <w:t>Cores</w:t>
            </w:r>
          </w:p>
        </w:tc>
        <w:tc>
          <w:tcPr>
            <w:tcW w:type="dxa" w:w="1452"/>
            <w:vAlign w:val="top"/>
          </w:tcPr>
          <w:p>
            <w:r/>
            <w:r>
              <w:rPr>
                <w:b w:val="0"/>
                <w:sz w:val="18"/>
              </w:rPr>
              <w:t>Rice plains; dense population</w:t>
            </w:r>
          </w:p>
        </w:tc>
        <w:tc>
          <w:tcPr>
            <w:tcW w:type="dxa" w:w="1452"/>
            <w:vAlign w:val="top"/>
          </w:tcPr>
          <w:p>
            <w:r/>
            <w:r>
              <w:rPr>
                <w:b w:val="0"/>
                <w:sz w:val="18"/>
              </w:rPr>
              <w:t>Lower Mekong and Tonle Sap</w:t>
            </w:r>
          </w:p>
        </w:tc>
        <w:tc>
          <w:tcPr>
            <w:tcW w:type="dxa" w:w="1452"/>
            <w:vAlign w:val="top"/>
          </w:tcPr>
          <w:p>
            <w:r/>
            <w:r>
              <w:rPr>
                <w:b w:val="0"/>
                <w:sz w:val="18"/>
              </w:rPr>
              <w:t>Theravada Buddhist</w:t>
            </w:r>
          </w:p>
        </w:tc>
        <w:tc>
          <w:tcPr>
            <w:tcW w:type="dxa" w:w="1452"/>
            <w:vAlign w:val="top"/>
          </w:tcPr>
          <w:p>
            <w:r/>
            <w:r>
              <w:rPr>
                <w:b w:val="0"/>
                <w:sz w:val="18"/>
              </w:rPr>
              <w:t>Khmer</w:t>
            </w:r>
          </w:p>
        </w:tc>
        <w:tc>
          <w:tcPr>
            <w:tcW w:type="dxa" w:w="1452"/>
            <w:vAlign w:val="top"/>
          </w:tcPr>
          <w:p>
            <w:r/>
            <w:r>
              <w:rPr>
                <w:b w:val="0"/>
                <w:sz w:val="18"/>
              </w:rPr>
              <w:t>“Indian-type” state</w:t>
            </w:r>
          </w:p>
        </w:tc>
        <w:tc>
          <w:tcPr>
            <w:tcW w:type="dxa" w:w="1452"/>
            <w:vAlign w:val="top"/>
          </w:tcPr>
          <w:p>
            <w:r/>
            <w:r>
              <w:rPr>
                <w:b w:val="0"/>
                <w:sz w:val="18"/>
              </w:rPr>
              <w:t>9th century</w:t>
            </w:r>
          </w:p>
        </w:tc>
      </w:tr>
      <w:tr>
        <w:tc>
          <w:tcPr>
            <w:tcW w:type="dxa" w:w="1452"/>
            <w:vAlign w:val="top"/>
          </w:tcPr>
          <w:p>
            <w:r/>
            <w:r>
              <w:rPr>
                <w:b w:val="0"/>
                <w:sz w:val="18"/>
              </w:rPr>
              <w:t>Cores</w:t>
            </w:r>
          </w:p>
        </w:tc>
        <w:tc>
          <w:tcPr>
            <w:tcW w:type="dxa" w:w="1452"/>
            <w:vAlign w:val="top"/>
          </w:tcPr>
          <w:p>
            <w:r/>
            <w:r>
              <w:rPr>
                <w:b w:val="0"/>
                <w:sz w:val="18"/>
              </w:rPr>
              <w:t>Rice plains; dense population</w:t>
            </w:r>
          </w:p>
        </w:tc>
        <w:tc>
          <w:tcPr>
            <w:tcW w:type="dxa" w:w="1452"/>
            <w:vAlign w:val="top"/>
          </w:tcPr>
          <w:p>
            <w:r/>
            <w:r>
              <w:rPr>
                <w:b w:val="0"/>
                <w:sz w:val="18"/>
              </w:rPr>
              <w:t>Red River delta southwards to Mekong delta</w:t>
            </w:r>
          </w:p>
        </w:tc>
        <w:tc>
          <w:tcPr>
            <w:tcW w:type="dxa" w:w="1452"/>
            <w:vAlign w:val="top"/>
          </w:tcPr>
          <w:p>
            <w:r/>
            <w:r>
              <w:rPr>
                <w:b w:val="0"/>
                <w:sz w:val="18"/>
              </w:rPr>
              <w:t>Confucian, Mahayana Buddhist and Taoist</w:t>
            </w:r>
          </w:p>
        </w:tc>
        <w:tc>
          <w:tcPr>
            <w:tcW w:type="dxa" w:w="1452"/>
            <w:vAlign w:val="top"/>
          </w:tcPr>
          <w:p>
            <w:r/>
            <w:r>
              <w:rPr>
                <w:b w:val="0"/>
                <w:sz w:val="18"/>
              </w:rPr>
              <w:t>Vietnamese</w:t>
            </w:r>
          </w:p>
        </w:tc>
        <w:tc>
          <w:tcPr>
            <w:tcW w:type="dxa" w:w="1452"/>
            <w:vAlign w:val="top"/>
          </w:tcPr>
          <w:p>
            <w:r/>
            <w:r>
              <w:rPr>
                <w:b w:val="0"/>
                <w:sz w:val="18"/>
              </w:rPr>
              <w:t>Mandarin bureaucracy</w:t>
            </w:r>
          </w:p>
        </w:tc>
        <w:tc>
          <w:tcPr>
            <w:tcW w:type="dxa" w:w="1452"/>
            <w:vAlign w:val="top"/>
          </w:tcPr>
          <w:p>
            <w:r/>
            <w:r>
              <w:rPr>
                <w:b w:val="0"/>
                <w:sz w:val="18"/>
              </w:rPr>
              <w:t>11th century</w:t>
            </w:r>
          </w:p>
        </w:tc>
      </w:tr>
      <w:tr>
        <w:tc>
          <w:tcPr>
            <w:tcW w:type="dxa" w:w="1452"/>
            <w:vAlign w:val="top"/>
          </w:tcPr>
          <w:p>
            <w:r/>
            <w:r>
              <w:rPr>
                <w:b w:val="0"/>
                <w:sz w:val="18"/>
              </w:rPr>
              <w:t>Cores</w:t>
            </w:r>
          </w:p>
        </w:tc>
        <w:tc>
          <w:tcPr>
            <w:tcW w:type="dxa" w:w="1452"/>
            <w:vAlign w:val="top"/>
          </w:tcPr>
          <w:p>
            <w:r/>
            <w:r>
              <w:rPr>
                <w:b w:val="0"/>
                <w:sz w:val="18"/>
              </w:rPr>
              <w:t>Rice plains; dense population</w:t>
            </w:r>
          </w:p>
        </w:tc>
        <w:tc>
          <w:tcPr>
            <w:tcW w:type="dxa" w:w="1452"/>
            <w:vAlign w:val="top"/>
          </w:tcPr>
          <w:p>
            <w:r/>
            <w:r>
              <w:rPr>
                <w:b w:val="0"/>
                <w:sz w:val="18"/>
              </w:rPr>
              <w:t>Java</w:t>
            </w:r>
          </w:p>
        </w:tc>
        <w:tc>
          <w:tcPr>
            <w:tcW w:type="dxa" w:w="1452"/>
            <w:vAlign w:val="top"/>
          </w:tcPr>
          <w:p>
            <w:r/>
            <w:r>
              <w:rPr>
                <w:b w:val="0"/>
                <w:sz w:val="18"/>
              </w:rPr>
              <w:t>Islamic, overlaid on Hindu-Buddhist traditions</w:t>
            </w:r>
          </w:p>
        </w:tc>
        <w:tc>
          <w:tcPr>
            <w:tcW w:type="dxa" w:w="1452"/>
            <w:vAlign w:val="top"/>
          </w:tcPr>
          <w:p>
            <w:r/>
            <w:r>
              <w:rPr>
                <w:b w:val="0"/>
                <w:sz w:val="18"/>
              </w:rPr>
              <w:t>Javanese; later Dutch bureaucratic overlay</w:t>
            </w:r>
          </w:p>
        </w:tc>
        <w:tc>
          <w:tcPr>
            <w:tcW w:type="dxa" w:w="1452"/>
            <w:vAlign w:val="top"/>
          </w:tcPr>
          <w:p>
            <w:r/>
            <w:r>
              <w:rPr>
                <w:b w:val="0"/>
                <w:sz w:val="18"/>
              </w:rPr>
              <w:t>“Indian-type” state</w:t>
            </w:r>
          </w:p>
        </w:tc>
        <w:tc>
          <w:tcPr>
            <w:tcW w:type="dxa" w:w="1452"/>
            <w:vAlign w:val="top"/>
          </w:tcPr>
          <w:p>
            <w:r/>
            <w:r>
              <w:rPr>
                <w:b w:val="0"/>
                <w:sz w:val="18"/>
              </w:rPr>
              <w:t>8th century</w:t>
            </w:r>
          </w:p>
        </w:tc>
      </w:tr>
      <w:tr>
        <w:tc>
          <w:tcPr>
            <w:tcW w:type="dxa" w:w="1452"/>
            <w:vAlign w:val="top"/>
          </w:tcPr>
          <w:p>
            <w:r/>
            <w:r>
              <w:rPr>
                <w:b w:val="0"/>
                <w:sz w:val="18"/>
              </w:rPr>
              <w:t>Cores</w:t>
            </w:r>
          </w:p>
        </w:tc>
        <w:tc>
          <w:tcPr>
            <w:tcW w:type="dxa" w:w="1452"/>
            <w:vAlign w:val="top"/>
          </w:tcPr>
          <w:p>
            <w:r/>
            <w:r>
              <w:rPr>
                <w:b w:val="0"/>
                <w:sz w:val="18"/>
              </w:rPr>
              <w:t>Rice plains; dense population</w:t>
            </w:r>
          </w:p>
        </w:tc>
        <w:tc>
          <w:tcPr>
            <w:tcW w:type="dxa" w:w="1452"/>
            <w:vAlign w:val="top"/>
          </w:tcPr>
          <w:p>
            <w:r/>
            <w:r>
              <w:rPr>
                <w:b w:val="0"/>
                <w:sz w:val="18"/>
              </w:rPr>
              <w:t>Northern and Central Philippines</w:t>
            </w:r>
          </w:p>
        </w:tc>
        <w:tc>
          <w:tcPr>
            <w:tcW w:type="dxa" w:w="1452"/>
            <w:vAlign w:val="top"/>
          </w:tcPr>
          <w:p>
            <w:r/>
            <w:r>
              <w:rPr>
                <w:b w:val="0"/>
                <w:sz w:val="18"/>
              </w:rPr>
              <w:t>Catholic</w:t>
            </w:r>
          </w:p>
        </w:tc>
        <w:tc>
          <w:tcPr>
            <w:tcW w:type="dxa" w:w="1452"/>
            <w:vAlign w:val="top"/>
          </w:tcPr>
          <w:p>
            <w:r/>
            <w:r>
              <w:rPr>
                <w:b w:val="0"/>
                <w:sz w:val="18"/>
              </w:rPr>
              <w:t>Various, including Tagalog and Cebuano; Spanish as lingua franca</w:t>
            </w:r>
          </w:p>
        </w:tc>
        <w:tc>
          <w:tcPr>
            <w:tcW w:type="dxa" w:w="1452"/>
            <w:vAlign w:val="top"/>
          </w:tcPr>
          <w:p>
            <w:r/>
            <w:r>
              <w:rPr>
                <w:b w:val="0"/>
                <w:sz w:val="18"/>
              </w:rPr>
              <w:t>Spanish bureaucracy</w:t>
            </w:r>
          </w:p>
        </w:tc>
        <w:tc>
          <w:tcPr>
            <w:tcW w:type="dxa" w:w="1452"/>
            <w:vAlign w:val="top"/>
          </w:tcPr>
          <w:p>
            <w:r/>
            <w:r>
              <w:rPr>
                <w:b w:val="0"/>
                <w:sz w:val="18"/>
              </w:rPr>
              <w:t>16th century</w:t>
            </w:r>
          </w:p>
        </w:tc>
      </w:tr>
      <w:tr>
        <w:tc>
          <w:tcPr>
            <w:tcW w:type="dxa" w:w="1452"/>
            <w:vAlign w:val="top"/>
          </w:tcPr>
          <w:p>
            <w:r/>
            <w:r>
              <w:rPr>
                <w:b w:val="0"/>
                <w:sz w:val="18"/>
              </w:rPr>
              <w:t>Shan-Lao Zone</w:t>
            </w:r>
          </w:p>
        </w:tc>
        <w:tc>
          <w:tcPr>
            <w:tcW w:type="dxa" w:w="1452"/>
            <w:vAlign w:val="top"/>
          </w:tcPr>
          <w:p>
            <w:r/>
            <w:r>
              <w:rPr>
                <w:b w:val="0"/>
                <w:sz w:val="18"/>
              </w:rPr>
              <w:t>Rice pockets; dense in places</w:t>
            </w:r>
          </w:p>
        </w:tc>
        <w:tc>
          <w:tcPr>
            <w:tcW w:type="dxa" w:w="1452"/>
            <w:vAlign w:val="top"/>
          </w:tcPr>
          <w:p>
            <w:r/>
            <w:r>
              <w:rPr>
                <w:b w:val="0"/>
                <w:sz w:val="18"/>
              </w:rPr>
              <w:t>Interior of mainland Southeast Asia</w:t>
            </w:r>
          </w:p>
        </w:tc>
        <w:tc>
          <w:tcPr>
            <w:tcW w:type="dxa" w:w="1452"/>
            <w:vAlign w:val="top"/>
          </w:tcPr>
          <w:p>
            <w:r/>
            <w:r>
              <w:rPr>
                <w:b w:val="0"/>
                <w:sz w:val="18"/>
              </w:rPr>
              <w:t>Theravada Buddhist</w:t>
            </w:r>
          </w:p>
        </w:tc>
        <w:tc>
          <w:tcPr>
            <w:tcW w:type="dxa" w:w="1452"/>
            <w:vAlign w:val="top"/>
          </w:tcPr>
          <w:p>
            <w:r/>
            <w:r>
              <w:rPr>
                <w:b w:val="0"/>
                <w:sz w:val="18"/>
              </w:rPr>
              <w:t>Tai dialects</w:t>
            </w:r>
          </w:p>
        </w:tc>
        <w:tc>
          <w:tcPr>
            <w:tcW w:type="dxa" w:w="1452"/>
            <w:vAlign w:val="top"/>
          </w:tcPr>
          <w:p>
            <w:r/>
            <w:r>
              <w:rPr>
                <w:b w:val="0"/>
                <w:sz w:val="18"/>
              </w:rPr>
              <w:t>Small states / sawba-ships</w:t>
            </w:r>
          </w:p>
        </w:tc>
        <w:tc>
          <w:tcPr>
            <w:tcW w:type="dxa" w:w="1452"/>
            <w:vAlign w:val="top"/>
          </w:tcPr>
          <w:p>
            <w:r/>
            <w:r>
              <w:rPr>
                <w:b w:val="0"/>
                <w:sz w:val="18"/>
              </w:rPr>
              <w:t>14th century</w:t>
            </w:r>
          </w:p>
        </w:tc>
      </w:tr>
      <w:tr>
        <w:tc>
          <w:tcPr>
            <w:tcW w:type="dxa" w:w="1452"/>
            <w:vAlign w:val="top"/>
          </w:tcPr>
          <w:p>
            <w:r/>
            <w:r>
              <w:rPr>
                <w:b w:val="0"/>
                <w:sz w:val="18"/>
              </w:rPr>
              <w:t>Malayo-Muslim Zone</w:t>
            </w:r>
          </w:p>
        </w:tc>
        <w:tc>
          <w:tcPr>
            <w:tcW w:type="dxa" w:w="1452"/>
            <w:vAlign w:val="top"/>
          </w:tcPr>
          <w:p>
            <w:r/>
            <w:r>
              <w:rPr>
                <w:b w:val="0"/>
                <w:sz w:val="18"/>
              </w:rPr>
              <w:t>Trade; sparse population</w:t>
            </w:r>
          </w:p>
        </w:tc>
        <w:tc>
          <w:tcPr>
            <w:tcW w:type="dxa" w:w="1452"/>
            <w:vAlign w:val="top"/>
          </w:tcPr>
          <w:p>
            <w:r/>
            <w:r>
              <w:rPr>
                <w:b w:val="0"/>
                <w:sz w:val="18"/>
              </w:rPr>
              <w:t>Coasts, rivers and islands of the archipelago</w:t>
            </w:r>
          </w:p>
        </w:tc>
        <w:tc>
          <w:tcPr>
            <w:tcW w:type="dxa" w:w="1452"/>
            <w:vAlign w:val="top"/>
          </w:tcPr>
          <w:p>
            <w:r/>
            <w:r>
              <w:rPr>
                <w:b w:val="0"/>
                <w:sz w:val="18"/>
              </w:rPr>
              <w:t>Islamic</w:t>
            </w:r>
          </w:p>
        </w:tc>
        <w:tc>
          <w:tcPr>
            <w:tcW w:type="dxa" w:w="1452"/>
            <w:vAlign w:val="top"/>
          </w:tcPr>
          <w:p>
            <w:r/>
            <w:r>
              <w:rPr>
                <w:b w:val="0"/>
                <w:sz w:val="18"/>
              </w:rPr>
              <w:t>Many languages; Malay as lingua franca</w:t>
            </w:r>
          </w:p>
        </w:tc>
        <w:tc>
          <w:tcPr>
            <w:tcW w:type="dxa" w:w="1452"/>
            <w:vAlign w:val="top"/>
          </w:tcPr>
          <w:p>
            <w:r/>
            <w:r>
              <w:rPr>
                <w:b w:val="0"/>
                <w:sz w:val="18"/>
              </w:rPr>
              <w:t>Small states and maritime polities</w:t>
            </w:r>
          </w:p>
        </w:tc>
        <w:tc>
          <w:tcPr>
            <w:tcW w:type="dxa" w:w="1452"/>
            <w:vAlign w:val="top"/>
          </w:tcPr>
          <w:p>
            <w:r/>
            <w:r>
              <w:rPr>
                <w:b w:val="0"/>
                <w:sz w:val="18"/>
              </w:rPr>
              <w:t>15th century onward</w:t>
            </w:r>
          </w:p>
        </w:tc>
      </w:tr>
      <w:tr>
        <w:tc>
          <w:tcPr>
            <w:tcW w:type="dxa" w:w="1452"/>
            <w:vAlign w:val="top"/>
          </w:tcPr>
          <w:p>
            <w:r/>
            <w:r>
              <w:rPr>
                <w:b w:val="0"/>
                <w:sz w:val="18"/>
              </w:rPr>
              <w:t>Stateless societies</w:t>
            </w:r>
          </w:p>
        </w:tc>
        <w:tc>
          <w:tcPr>
            <w:tcW w:type="dxa" w:w="1452"/>
            <w:vAlign w:val="top"/>
          </w:tcPr>
          <w:p>
            <w:r/>
            <w:r>
              <w:rPr>
                <w:b w:val="0"/>
                <w:sz w:val="18"/>
              </w:rPr>
              <w:t>Swidden cultivation; very sparse population</w:t>
            </w:r>
          </w:p>
        </w:tc>
        <w:tc>
          <w:tcPr>
            <w:tcW w:type="dxa" w:w="1452"/>
            <w:vAlign w:val="top"/>
          </w:tcPr>
          <w:p>
            <w:r/>
            <w:r>
              <w:rPr>
                <w:b w:val="0"/>
                <w:sz w:val="18"/>
              </w:rPr>
              <w:t>Mainland hills and island interiors</w:t>
            </w:r>
          </w:p>
        </w:tc>
        <w:tc>
          <w:tcPr>
            <w:tcW w:type="dxa" w:w="1452"/>
            <w:vAlign w:val="top"/>
          </w:tcPr>
          <w:p>
            <w:r/>
            <w:r>
              <w:rPr>
                <w:b w:val="0"/>
                <w:sz w:val="18"/>
              </w:rPr>
              <w:t>No single civic tradition; often described in older notes as “animist”</w:t>
            </w:r>
          </w:p>
        </w:tc>
        <w:tc>
          <w:tcPr>
            <w:tcW w:type="dxa" w:w="1452"/>
            <w:vAlign w:val="top"/>
          </w:tcPr>
          <w:p>
            <w:r/>
            <w:r>
              <w:rPr>
                <w:b w:val="0"/>
                <w:sz w:val="18"/>
              </w:rPr>
              <w:t>Very many languages and cultures</w:t>
            </w:r>
          </w:p>
        </w:tc>
        <w:tc>
          <w:tcPr>
            <w:tcW w:type="dxa" w:w="1452"/>
            <w:vAlign w:val="top"/>
          </w:tcPr>
          <w:p>
            <w:r/>
            <w:r>
              <w:rPr>
                <w:b w:val="0"/>
                <w:sz w:val="18"/>
              </w:rPr>
              <w:t>Stateless or loosely organised societies</w:t>
            </w:r>
          </w:p>
        </w:tc>
        <w:tc>
          <w:tcPr>
            <w:tcW w:type="dxa" w:w="1452"/>
            <w:vAlign w:val="top"/>
          </w:tcPr>
          <w:p>
            <w:r/>
            <w:r>
              <w:rPr>
                <w:b w:val="0"/>
                <w:sz w:val="18"/>
              </w:rPr>
              <w:t>Not applicable</w:t>
            </w:r>
          </w:p>
        </w:tc>
      </w:tr>
    </w:tbl>
    <w:p>
      <w:pPr>
        <w:pStyle w:val="Heading1"/>
      </w:pPr>
      <w:r>
        <w:t>Clean Transcript Publication Note</w:t>
      </w:r>
    </w:p>
    <w:p>
      <w:r>
        <w:t>This document is intended to be paired with the original PDF scan and a short lecture synopsis. It preserves the argument and teaching structure of the original notes while improving readability for contemporary students.</w:t>
      </w:r>
    </w:p>
    <w:sectPr w:rsidR="00FC693F" w:rsidRPr="0006063C" w:rsidSect="00034616">
      <w:pgSz w:w="12240" w:h="15840"/>
      <w:pgMar w:top="1008" w:right="1037" w:bottom="1008"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73B5F"/>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73B5F"/>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73B5F"/>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73B5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